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w:body>
    <w:tbl>
      <w:tblPr>
        <w:tblW w:w="10546" w:type="dxa"/>
        <w:tblLayout w:type="fixed"/>
        <w:tblBorders>
          <w:top w:val="nil"/>
          <w:left w:val="nil"/>
          <w:bottom w:val="nil"/>
          <w:right w:val="nil"/>
          <w:insideH w:val="nil"/>
          <w:insideV w:val="nil"/>
        </w:tblBorders>
        <w:tblCellMar>
          <w:top w:w="0" w:type="dxa"/>
          <w:left w:w="0" w:type="dxa"/>
          <w:bottom w:w="0" w:type="dxa"/>
          <w:right w:w="0" w:type="dxa"/>
        </w:tblCellMar>
      </w:tblPr>
      <w:tblGrid>
        <w:gridCol w:w="3402"/>
        <w:gridCol w:w="7144"/>
      </w:tblGrid>
      <w:tr>
        <w:trPr>
          <w:trHeight w:val="14578" w:hRule="atLeast"/>
        </w:trPr>
        <w:tc>
          <w:tcPr>
            <w:tcW w:w="3402" w:type="dxa"/>
            <w:shd w:val="clear" w:color="auto" w:fill="EEF2F7"/>
            <w:tcMar>
              <w:top w:w="340" w:type="dxa"/>
              <w:left w:w="284" w:type="dxa"/>
              <w:bottom w:w="284" w:type="dxa"/>
              <w:right w:w="284" w:type="dxa"/>
            </w:tcMar>
          </w:tcPr>
          <w:p>
            <w:pPr>
              <w:spacing w:before="0" w:after="60"/>
              <w:jc w:val="center"/>
            </w:pPr>
            <w:r>
              <w:drawing>
                <wp:inline distT="0" distB="0" distL="0" distR="0">
                  <wp:extent cx="1080000" cy="1440000"/>
                  <wp:docPr id="1" name="Foto"/>
                  <a:graphic xmlns:a="http://schemas.openxmlformats.org/drawingml/2006/main">
                    <a:graphicData uri="http://schemas.openxmlformats.org/drawingml/2006/picture">
                      <pic:pic xmlns:pic="http://schemas.openxmlformats.org/drawingml/2006/picture">
                        <pic:nvPicPr>
                          <pic:cNvPr id="1" name="photo"/>
                          <pic:cNvPicPr/>
                        </pic:nvPicPr>
                        <pic:blipFill>
                          <a:blip r:embed="rIdPhoto"/>
                          <a:stretch>
                            <a:fillRect/>
                          </a:stretch>
                        </pic:blipFill>
                        <pic:spPr>
                          <a:xfrm>
                            <a:off x="0" y="0"/>
                            <a:ext cx="1080000" cy="1440000"/>
                          </a:xfrm>
                          <a:prstGeom prst="rect">
                            <a:avLst/>
                          </a:prstGeom>
                        </pic:spPr>
                      </pic:pic>
                    </a:graphicData>
                  </a:graphic>
                </wp:inline>
              </w:drawing>
            </w:r>
          </w:p>
          <w:p>
            <w:pPr>
              <w:keepNext/>
              <w:pBdr>
                <w:bottom w:val="single" w:sz="8" w:space="2" w:color="1F3A5F"/>
              </w:pBdr>
              <w:spacing w:before="300" w:after="100"/>
            </w:pPr>
            <w:r>
              <w:rPr>
                <w:b/>
                <w:caps/>
                <w:color w:val="1F3A5F"/>
                <w:spacing w:val="30"/>
                <w:sz w:val="18"/>
                <w:szCs w:val="18"/>
              </w:rPr>
              <w:t xml:space="preserve">Aloqa</w:t>
            </w:r>
          </w:p>
          <w:p>
            <w:pPr>
              <w:spacing w:before="0" w:after="60"/>
            </w:pPr>
            <w:r>
              <w:rPr>
                <w:sz w:val="18"/>
                <w:szCs w:val="18"/>
              </w:rPr>
              <w:t xml:space="preserve">+998 90 123 45 67</w:t>
            </w:r>
          </w:p>
          <w:p>
            <w:pPr>
              <w:spacing w:before="0" w:after="60"/>
            </w:pPr>
            <w:r>
              <w:rPr>
                <w:sz w:val="18"/>
                <w:szCs w:val="18"/>
              </w:rPr>
              <w:t xml:space="preserve">d.karimova@example.com</w:t>
            </w:r>
          </w:p>
          <w:p>
            <w:pPr>
              <w:spacing w:before="0" w:after="60"/>
            </w:pPr>
            <w:r>
              <w:rPr>
                <w:sz w:val="18"/>
                <w:szCs w:val="18"/>
              </w:rPr>
              <w:t xml:space="preserve">Toshkent, Mirzo Ulug'bek tumani</w:t>
            </w:r>
          </w:p>
          <w:p>
            <w:pPr>
              <w:keepNext/>
              <w:pBdr>
                <w:bottom w:val="single" w:sz="8" w:space="2" w:color="1F3A5F"/>
              </w:pBdr>
              <w:spacing w:before="300" w:after="100"/>
            </w:pPr>
            <w:r>
              <w:rPr>
                <w:b/>
                <w:caps/>
                <w:color w:val="1F3A5F"/>
                <w:spacing w:val="30"/>
                <w:sz w:val="18"/>
                <w:szCs w:val="18"/>
              </w:rPr>
              <w:t xml:space="preserve">Asosiy ko'nikmalar</w:t>
            </w:r>
          </w:p>
          <w:p>
            <w:pPr>
              <w:spacing w:before="0" w:after="40"/>
              <w:ind w:left="255" w:hanging="255"/>
            </w:pPr>
            <w:r>
              <w:rPr>
                <w:color w:val="1F3A5F"/>
                <w:sz w:val="18"/>
                <w:szCs w:val="18"/>
              </w:rPr>
              <w:t xml:space="preserve">•</w:t>
            </w:r>
            <w:r>
              <w:tab/>
            </w:r>
            <w:r>
              <w:rPr>
                <w:sz w:val="18"/>
                <w:szCs w:val="18"/>
              </w:rPr>
              <w:t xml:space="preserve">1C:Buxgalteriya</w:t>
            </w:r>
          </w:p>
          <w:p>
            <w:pPr>
              <w:spacing w:before="0" w:after="40"/>
              <w:ind w:left="255" w:hanging="255"/>
            </w:pPr>
            <w:r>
              <w:rPr>
                <w:color w:val="1F3A5F"/>
                <w:sz w:val="18"/>
                <w:szCs w:val="18"/>
              </w:rPr>
              <w:t xml:space="preserve">•</w:t>
            </w:r>
            <w:r>
              <w:tab/>
            </w:r>
            <w:r>
              <w:rPr>
                <w:sz w:val="18"/>
                <w:szCs w:val="18"/>
              </w:rPr>
              <w:t xml:space="preserve">Soliq hisoboti</w:t>
            </w:r>
          </w:p>
          <w:p>
            <w:pPr>
              <w:spacing w:before="0" w:after="40"/>
              <w:ind w:left="255" w:hanging="255"/>
            </w:pPr>
            <w:r>
              <w:rPr>
                <w:color w:val="1F3A5F"/>
                <w:sz w:val="18"/>
                <w:szCs w:val="18"/>
              </w:rPr>
              <w:t xml:space="preserve">•</w:t>
            </w:r>
            <w:r>
              <w:tab/>
            </w:r>
            <w:r>
              <w:rPr>
                <w:sz w:val="18"/>
                <w:szCs w:val="18"/>
              </w:rPr>
              <w:t xml:space="preserve">Elektron hisob-fakturalar</w:t>
            </w:r>
          </w:p>
          <w:p>
            <w:pPr>
              <w:spacing w:before="0" w:after="40"/>
              <w:ind w:left="255" w:hanging="255"/>
            </w:pPr>
            <w:r>
              <w:rPr>
                <w:color w:val="1F3A5F"/>
                <w:sz w:val="18"/>
                <w:szCs w:val="18"/>
              </w:rPr>
              <w:t xml:space="preserve">•</w:t>
            </w:r>
            <w:r>
              <w:tab/>
            </w:r>
            <w:r>
              <w:rPr>
                <w:sz w:val="18"/>
                <w:szCs w:val="18"/>
              </w:rPr>
              <w:t xml:space="preserve">MHXS</w:t>
            </w:r>
          </w:p>
          <w:p>
            <w:pPr>
              <w:spacing w:before="0" w:after="40"/>
              <w:ind w:left="255" w:hanging="255"/>
            </w:pPr>
            <w:r>
              <w:rPr>
                <w:color w:val="1F3A5F"/>
                <w:sz w:val="18"/>
                <w:szCs w:val="18"/>
              </w:rPr>
              <w:t xml:space="preserve">•</w:t>
            </w:r>
            <w:r>
              <w:tab/>
            </w:r>
            <w:r>
              <w:rPr>
                <w:sz w:val="18"/>
                <w:szCs w:val="18"/>
              </w:rPr>
              <w:t xml:space="preserve">Excel: yig'ma jadvallar, VPR</w:t>
            </w:r>
          </w:p>
          <w:p>
            <w:pPr>
              <w:spacing w:before="0" w:after="40"/>
              <w:ind w:left="255" w:hanging="255"/>
            </w:pPr>
            <w:r>
              <w:rPr>
                <w:color w:val="1F3A5F"/>
                <w:sz w:val="18"/>
                <w:szCs w:val="18"/>
              </w:rPr>
              <w:t xml:space="preserve">•</w:t>
            </w:r>
            <w:r>
              <w:tab/>
            </w:r>
            <w:r>
              <w:rPr>
                <w:sz w:val="18"/>
                <w:szCs w:val="18"/>
              </w:rPr>
              <w:t xml:space="preserve">Bank-mijoz</w:t>
            </w:r>
          </w:p>
          <w:p>
            <w:pPr>
              <w:spacing w:before="0" w:after="40"/>
              <w:ind w:left="255" w:hanging="255"/>
            </w:pPr>
            <w:r>
              <w:rPr>
                <w:color w:val="1F3A5F"/>
                <w:sz w:val="18"/>
                <w:szCs w:val="18"/>
              </w:rPr>
              <w:t xml:space="preserve">•</w:t>
            </w:r>
            <w:r>
              <w:tab/>
            </w:r>
            <w:r>
              <w:rPr>
                <w:sz w:val="18"/>
                <w:szCs w:val="18"/>
              </w:rPr>
              <w:t xml:space="preserve">Kontragentlar bilan solishtirish</w:t>
            </w:r>
          </w:p>
          <w:p>
            <w:pPr>
              <w:keepNext/>
              <w:pBdr>
                <w:bottom w:val="single" w:sz="8" w:space="2" w:color="1F3A5F"/>
              </w:pBdr>
              <w:spacing w:before="300" w:after="100"/>
            </w:pPr>
            <w:r>
              <w:rPr>
                <w:b/>
                <w:caps/>
                <w:color w:val="1F3A5F"/>
                <w:spacing w:val="30"/>
                <w:sz w:val="18"/>
                <w:szCs w:val="18"/>
              </w:rPr>
              <w:t xml:space="preserve">Tillar</w:t>
            </w:r>
          </w:p>
          <w:p>
            <w:pPr>
              <w:spacing w:before="0" w:after="0"/>
            </w:pPr>
            <w:r>
              <w:rPr>
                <w:b/>
                <w:sz w:val="18"/>
                <w:szCs w:val="18"/>
              </w:rPr>
              <w:t xml:space="preserve">O'zbek tili</w:t>
            </w:r>
          </w:p>
          <w:p>
            <w:pPr>
              <w:spacing w:before="0" w:after="80"/>
            </w:pPr>
            <w:r>
              <w:rPr>
                <w:color w:val="5B6B7A"/>
                <w:sz w:val="18"/>
                <w:szCs w:val="18"/>
              </w:rPr>
              <w:t xml:space="preserve">ona tili</w:t>
            </w:r>
          </w:p>
          <w:p>
            <w:pPr>
              <w:spacing w:before="0" w:after="0"/>
            </w:pPr>
            <w:r>
              <w:rPr>
                <w:b/>
                <w:sz w:val="18"/>
                <w:szCs w:val="18"/>
              </w:rPr>
              <w:t xml:space="preserve">Rus tili</w:t>
            </w:r>
          </w:p>
          <w:p>
            <w:pPr>
              <w:spacing w:before="0" w:after="80"/>
            </w:pPr>
            <w:r>
              <w:rPr>
                <w:color w:val="5B6B7A"/>
                <w:sz w:val="18"/>
                <w:szCs w:val="18"/>
              </w:rPr>
              <w:t xml:space="preserve">erkin</w:t>
            </w:r>
          </w:p>
          <w:p>
            <w:pPr>
              <w:spacing w:before="0" w:after="0"/>
            </w:pPr>
            <w:r>
              <w:rPr>
                <w:b/>
                <w:sz w:val="18"/>
                <w:szCs w:val="18"/>
              </w:rPr>
              <w:t xml:space="preserve">Ingliz tili</w:t>
            </w:r>
          </w:p>
          <w:p>
            <w:pPr>
              <w:spacing w:before="0" w:after="80"/>
            </w:pPr>
            <w:r>
              <w:rPr>
                <w:color w:val="5B6B7A"/>
                <w:sz w:val="18"/>
                <w:szCs w:val="18"/>
              </w:rPr>
              <w:t xml:space="preserve">B1, o'rta</w:t>
            </w:r>
          </w:p>
        </w:tc>
        <w:tc>
          <w:tcPr>
            <w:tcW w:w="7144" w:type="dxa"/>
            <w:tcMar>
              <w:top w:w="340" w:type="dxa"/>
              <w:left w:w="425" w:type="dxa"/>
              <w:bottom w:w="284" w:type="dxa"/>
              <w:right w:w="113" w:type="dxa"/>
            </w:tcMar>
          </w:tcPr>
          <w:p>
            <w:pPr>
              <w:spacing w:before="0" w:after="40"/>
            </w:pPr>
            <w:r>
              <w:rPr>
                <w:b/>
                <w:color w:val="1F3A5F"/>
                <w:sz w:val="40"/>
                <w:szCs w:val="40"/>
              </w:rPr>
              <w:t xml:space="preserve">Karimova Dilnoza Rustamovna</w:t>
            </w:r>
          </w:p>
          <w:p>
            <w:pPr>
              <w:spacing w:before="0" w:after="60"/>
            </w:pPr>
            <w:r>
              <w:rPr>
                <w:color w:val="5B6B7A"/>
                <w:sz w:val="26"/>
                <w:szCs w:val="26"/>
              </w:rPr>
              <w:t xml:space="preserve">Bosh hisobchi</w:t>
            </w:r>
          </w:p>
          <w:p>
            <w:pPr>
              <w:spacing w:before="0" w:after="0"/>
            </w:pPr>
            <w:r>
              <w:rPr>
                <w:color w:val="5B6B7A"/>
                <w:sz w:val="19"/>
                <w:szCs w:val="19"/>
              </w:rPr>
              <w:t xml:space="preserve">Kutilayotgan maosh: 12 000 000 so'mdan</w:t>
            </w:r>
          </w:p>
          <w:p>
            <w:pPr>
              <w:keepNext/>
              <w:pBdr>
                <w:bottom w:val="single" w:sz="6" w:space="3" w:color="C9D3DE"/>
              </w:pBdr>
              <w:spacing w:before="280" w:after="120"/>
            </w:pPr>
            <w:r>
              <w:rPr>
                <w:b/>
                <w:caps/>
                <w:color w:val="1F3A5F"/>
                <w:spacing w:val="30"/>
                <w:sz w:val="20"/>
                <w:szCs w:val="20"/>
              </w:rPr>
              <w:t xml:space="preserve">O'zim haqimda</w:t>
            </w:r>
          </w:p>
          <w:p>
            <w:pPr>
              <w:spacing w:before="0" w:after="0" w:line="264" w:lineRule="auto"/>
            </w:pPr>
            <w:r>
              <w:rPr>
                <w:sz w:val="20"/>
                <w:szCs w:val="20"/>
              </w:rPr>
              <w:t xml:space="preserve">Ulgurji savdo va ishlab chiqarishda 12 yillik tajribaga ega hisobchi. Birlamchi hujjatlardan yillik hisobotgacha bo'lgan uchastkani yuritaman, to'rt kishilik jamoaga rahbarlik qilaman. Hisobotlarni o'z vaqtida topshiraman, oxirgi soliq tekshiruvi qo'shimcha hisoblashlarsiz o'tgan.</w:t>
            </w:r>
          </w:p>
          <w:p>
            <w:pPr>
              <w:keepNext/>
              <w:pBdr>
                <w:bottom w:val="single" w:sz="6" w:space="3" w:color="C9D3DE"/>
              </w:pBdr>
              <w:spacing w:before="280" w:after="120"/>
            </w:pPr>
            <w:r>
              <w:rPr>
                <w:b/>
                <w:caps/>
                <w:color w:val="1F3A5F"/>
                <w:spacing w:val="30"/>
                <w:sz w:val="20"/>
                <w:szCs w:val="20"/>
              </w:rPr>
              <w:t xml:space="preserve">Ish tajribasi</w:t>
            </w:r>
          </w:p>
          <w:p>
            <w:pPr>
              <w:keepNext/>
              <w:spacing w:before="0" w:after="0"/>
            </w:pPr>
            <w:r>
              <w:rPr>
                <w:b/>
                <w:sz w:val="21"/>
                <w:szCs w:val="21"/>
              </w:rPr>
              <w:t xml:space="preserve">Bosh hisobchi</w:t>
            </w:r>
          </w:p>
          <w:p>
            <w:pPr>
              <w:keepNext/>
              <w:spacing w:before="0" w:after="60"/>
            </w:pPr>
            <w:r>
              <w:rPr>
                <w:color w:val="5B6B7A"/>
                <w:sz w:val="19"/>
                <w:szCs w:val="19"/>
              </w:rPr>
              <w:t xml:space="preserve">«Alfa Treyd» MChJ, ulgurji savdo, Toshkent</w:t>
            </w:r>
            <w:r>
              <w:rPr>
                <w:color w:val="5B6B7A"/>
                <w:sz w:val="18"/>
                <w:szCs w:val="18"/>
              </w:rPr>
              <w:t xml:space="preserve">   |   03.2021 — hozir</w:t>
            </w:r>
          </w:p>
          <w:p>
            <w:pPr>
              <w:spacing w:before="0" w:after="30"/>
              <w:ind w:left="255" w:hanging="255"/>
            </w:pPr>
            <w:r>
              <w:rPr>
                <w:color w:val="1F3A5F"/>
                <w:sz w:val="19"/>
                <w:szCs w:val="19"/>
              </w:rPr>
              <w:t xml:space="preserve">•</w:t>
            </w:r>
            <w:r>
              <w:tab/>
            </w:r>
            <w:r>
              <w:rPr>
                <w:sz w:val="19"/>
                <w:szCs w:val="19"/>
              </w:rPr>
              <w:t xml:space="preserve">Uchta yuridik shaxs hisobini 1C:Buxgalteriya'da yuritaman, 4 nafar hisobchidan iborat jamoaga rahbarlik qilaman</w:t>
            </w:r>
          </w:p>
          <w:p>
            <w:pPr>
              <w:spacing w:before="0" w:after="30"/>
              <w:ind w:left="255" w:hanging="255"/>
            </w:pPr>
            <w:r>
              <w:rPr>
                <w:color w:val="1F3A5F"/>
                <w:sz w:val="19"/>
                <w:szCs w:val="19"/>
              </w:rPr>
              <w:t xml:space="preserve">•</w:t>
            </w:r>
            <w:r>
              <w:tab/>
            </w:r>
            <w:r>
              <w:rPr>
                <w:sz w:val="19"/>
                <w:szCs w:val="19"/>
              </w:rPr>
              <w:t xml:space="preserve">Hujjat aylanishini elektron hisob-fakturalarga o'tkazdim: oyni yopish — 10 o'rniga 6 ish kuni</w:t>
            </w:r>
          </w:p>
          <w:p>
            <w:pPr>
              <w:spacing w:before="0" w:after="30"/>
              <w:ind w:left="255" w:hanging="255"/>
            </w:pPr>
            <w:r>
              <w:rPr>
                <w:color w:val="1F3A5F"/>
                <w:sz w:val="19"/>
                <w:szCs w:val="19"/>
              </w:rPr>
              <w:t xml:space="preserve">•</w:t>
            </w:r>
            <w:r>
              <w:tab/>
            </w:r>
            <w:r>
              <w:rPr>
                <w:sz w:val="19"/>
                <w:szCs w:val="19"/>
              </w:rPr>
              <w:t xml:space="preserve">2024-yilgi soliq tekshiruvi — qo'shimcha hisoblash va jarimalarsiz</w:t>
            </w:r>
          </w:p>
          <w:p>
            <w:pPr>
              <w:spacing w:before="0" w:after="120"/>
            </w:pPr>
          </w:p>
          <w:p>
            <w:pPr>
              <w:keepNext/>
              <w:spacing w:before="0" w:after="0"/>
            </w:pPr>
            <w:r>
              <w:rPr>
                <w:b/>
                <w:sz w:val="21"/>
                <w:szCs w:val="21"/>
              </w:rPr>
              <w:t xml:space="preserve">Yetkazib beruvchilar bilan hisob-kitob bo'yicha hisobchi</w:t>
            </w:r>
          </w:p>
          <w:p>
            <w:pPr>
              <w:keepNext/>
              <w:spacing w:before="0" w:after="60"/>
            </w:pPr>
            <w:r>
              <w:rPr>
                <w:color w:val="5B6B7A"/>
                <w:sz w:val="19"/>
                <w:szCs w:val="19"/>
              </w:rPr>
              <w:t xml:space="preserve">«Tekstil Grupp» AJ, ishlab chiqarish, Toshkent</w:t>
            </w:r>
            <w:r>
              <w:rPr>
                <w:color w:val="5B6B7A"/>
                <w:sz w:val="18"/>
                <w:szCs w:val="18"/>
              </w:rPr>
              <w:t xml:space="preserve">   |   06.2016 — 02.2021</w:t>
            </w:r>
          </w:p>
          <w:p>
            <w:pPr>
              <w:spacing w:before="0" w:after="30"/>
              <w:ind w:left="255" w:hanging="255"/>
            </w:pPr>
            <w:r>
              <w:rPr>
                <w:color w:val="1F3A5F"/>
                <w:sz w:val="19"/>
                <w:szCs w:val="19"/>
              </w:rPr>
              <w:t xml:space="preserve">•</w:t>
            </w:r>
            <w:r>
              <w:tab/>
            </w:r>
            <w:r>
              <w:rPr>
                <w:sz w:val="19"/>
                <w:szCs w:val="19"/>
              </w:rPr>
              <w:t xml:space="preserve">120 dan ortiq yetkazib beruvchi bilan solishtirma dalolatnomalar va hisob-kitoblar, bank ko'chirmalari, to'lov topshiriqnomalari</w:t>
            </w:r>
          </w:p>
          <w:p>
            <w:pPr>
              <w:spacing w:before="0" w:after="30"/>
              <w:ind w:left="255" w:hanging="255"/>
            </w:pPr>
            <w:r>
              <w:rPr>
                <w:color w:val="1F3A5F"/>
                <w:sz w:val="19"/>
                <w:szCs w:val="19"/>
              </w:rPr>
              <w:t xml:space="preserve">•</w:t>
            </w:r>
            <w:r>
              <w:tab/>
            </w:r>
            <w:r>
              <w:rPr>
                <w:sz w:val="19"/>
                <w:szCs w:val="19"/>
              </w:rPr>
              <w:t xml:space="preserve">QQS bo'yicha hisobot tayyorlash va EHF yozib berish</w:t>
            </w:r>
          </w:p>
          <w:p>
            <w:pPr>
              <w:spacing w:before="0" w:after="120"/>
            </w:pPr>
          </w:p>
          <w:p>
            <w:pPr>
              <w:keepNext/>
              <w:spacing w:before="0" w:after="0"/>
            </w:pPr>
            <w:r>
              <w:rPr>
                <w:b/>
                <w:sz w:val="21"/>
                <w:szCs w:val="21"/>
              </w:rPr>
              <w:t xml:space="preserve">Hisobchi yordamchisi</w:t>
            </w:r>
          </w:p>
          <w:p>
            <w:pPr>
              <w:keepNext/>
              <w:spacing w:before="0" w:after="60"/>
            </w:pPr>
            <w:r>
              <w:rPr>
                <w:color w:val="5B6B7A"/>
                <w:sz w:val="19"/>
                <w:szCs w:val="19"/>
              </w:rPr>
              <w:t xml:space="preserve">«Vostok Market» MChJ, chakana savdo tarmog'i</w:t>
            </w:r>
            <w:r>
              <w:rPr>
                <w:color w:val="5B6B7A"/>
                <w:sz w:val="18"/>
                <w:szCs w:val="18"/>
              </w:rPr>
              <w:t xml:space="preserve">   |   09.2013 — 05.2016</w:t>
            </w:r>
          </w:p>
          <w:p>
            <w:pPr>
              <w:spacing w:before="0" w:after="30"/>
              <w:ind w:left="255" w:hanging="255"/>
            </w:pPr>
            <w:r>
              <w:rPr>
                <w:color w:val="1F3A5F"/>
                <w:sz w:val="19"/>
                <w:szCs w:val="19"/>
              </w:rPr>
              <w:t xml:space="preserve">•</w:t>
            </w:r>
            <w:r>
              <w:tab/>
            </w:r>
            <w:r>
              <w:rPr>
                <w:sz w:val="19"/>
                <w:szCs w:val="19"/>
              </w:rPr>
              <w:t xml:space="preserve">Birlamchi hujjatlar, kassa operatsiyalari, bo'nak hisobotlari</w:t>
            </w:r>
          </w:p>
          <w:p>
            <w:pPr>
              <w:spacing w:before="0" w:after="120"/>
            </w:pPr>
          </w:p>
          <w:p>
            <w:pPr>
              <w:keepNext/>
              <w:pBdr>
                <w:bottom w:val="single" w:sz="6" w:space="3" w:color="C9D3DE"/>
              </w:pBdr>
              <w:spacing w:before="280" w:after="120"/>
            </w:pPr>
            <w:r>
              <w:rPr>
                <w:b/>
                <w:caps/>
                <w:color w:val="1F3A5F"/>
                <w:spacing w:val="30"/>
                <w:sz w:val="20"/>
                <w:szCs w:val="20"/>
              </w:rPr>
              <w:t xml:space="preserve">Ta'lim</w:t>
            </w:r>
          </w:p>
          <w:p>
            <w:pPr>
              <w:spacing w:before="0" w:after="0"/>
            </w:pPr>
            <w:r>
              <w:rPr>
                <w:b/>
                <w:sz w:val="20"/>
                <w:szCs w:val="20"/>
              </w:rPr>
              <w:t xml:space="preserve">Toshkent moliya instituti</w:t>
            </w:r>
          </w:p>
          <w:p>
            <w:pPr>
              <w:spacing w:before="0" w:after="80"/>
            </w:pPr>
            <w:r>
              <w:rPr>
                <w:color w:val="5B6B7A"/>
                <w:sz w:val="19"/>
                <w:szCs w:val="19"/>
              </w:rPr>
              <w:t xml:space="preserve">Bakalavr, buxgalteriya hisobi va audit, 2013</w:t>
            </w:r>
          </w:p>
          <w:p>
            <w:pPr>
              <w:keepNext/>
              <w:pBdr>
                <w:bottom w:val="single" w:sz="6" w:space="3" w:color="C9D3DE"/>
              </w:pBdr>
              <w:spacing w:before="280" w:after="120"/>
            </w:pPr>
            <w:r>
              <w:rPr>
                <w:b/>
                <w:caps/>
                <w:color w:val="1F3A5F"/>
                <w:spacing w:val="30"/>
                <w:sz w:val="20"/>
                <w:szCs w:val="20"/>
              </w:rPr>
              <w:t xml:space="preserve">Kurslar va sertifikatlar</w:t>
            </w:r>
          </w:p>
          <w:p>
            <w:pPr>
              <w:spacing w:before="0" w:after="30"/>
              <w:ind w:left="255" w:hanging="255"/>
            </w:pPr>
            <w:r>
              <w:rPr>
                <w:color w:val="1F3A5F"/>
                <w:sz w:val="19"/>
                <w:szCs w:val="19"/>
              </w:rPr>
              <w:t xml:space="preserve">•</w:t>
            </w:r>
            <w:r>
              <w:tab/>
            </w:r>
            <w:r>
              <w:rPr>
                <w:sz w:val="19"/>
                <w:szCs w:val="19"/>
              </w:rPr>
              <w:t xml:space="preserve">Moliyaviy hisobotning xalqaro standartlari (MHXS), 72 soat, 2023</w:t>
            </w:r>
          </w:p>
          <w:p>
            <w:pPr>
              <w:spacing w:before="0" w:after="30"/>
              <w:ind w:left="255" w:hanging="255"/>
            </w:pPr>
            <w:r>
              <w:rPr>
                <w:color w:val="1F3A5F"/>
                <w:sz w:val="19"/>
                <w:szCs w:val="19"/>
              </w:rPr>
              <w:t xml:space="preserve">•</w:t>
            </w:r>
            <w:r>
              <w:tab/>
            </w:r>
            <w:r>
              <w:rPr>
                <w:sz w:val="19"/>
                <w:szCs w:val="19"/>
              </w:rPr>
              <w:t xml:space="preserve">O'zbekiston uchun 1C:Buxgalteriya 8.3, 2020</w:t>
            </w:r>
          </w:p>
        </w:tc>
      </w:tr>
    </w:tbl>
    <w:p>
      <w:pPr>
        <w:spacing w:before="0" w:after="0" w:line="20" w:lineRule="exact"/>
        <w:rPr>
          <w:sz w:val="2"/>
        </w:rPr>
      </w:pPr>
    </w:p>
    <w:sectPr>
      <w:pgSz w:w="11906" w:h="16838"/>
      <w:pgMar w:top="680" w:right="680" w:bottom="680" w:left="680" w:header="0" w:footer="0" w:gutter="0"/>
    </w:sectPr>
  </w:body>
</w:document>
</file>

<file path=word/styles.xml><?xml version="1.0" encoding="utf-8"?>
<w:styles xmlns:w="http://schemas.openxmlformats.org/wordprocessingml/2006/main">
  <w:docDefaults>
    <w:rPrDefault>
      <w:rPr>
        <w:rFonts w:ascii="Arial" w:hAnsi="Arial" w:eastAsia="Arial" w:cs="Arial"/>
        <w:color w:val="1B2733"/>
        <w:sz w:val="20"/>
        <w:szCs w:val="20"/>
        <w:lang w:val="uz-Latn-UZ"/>
      </w:rPr>
    </w:rPrDefault>
    <w:pPrDefault>
      <w:pPr>
        <w:spacing w:after="0" w:line="252"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Photo" Type="http://schemas.openxmlformats.org/officeDocument/2006/relationships/image" Target="media/photo.jpeg"/></Relationships>
</file>

<file path=docProps/core.xml><?xml version="1.0" encoding="utf-8"?>
<cp:coreProperties xmlns:cp="http://schemas.openxmlformats.org/package/2006/metadata/core-properties" xmlns:dc="http://purl.org/dc/elements/1.1/">
  <dc:title>Rezyume — Karimova Dilnoza Rustamovna</dc:title>
  <dc:creator>Foto24.uz</dc:creator>
</cp:coreProperties>
</file>